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9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3119"/>
        <w:gridCol w:w="3544"/>
        <w:gridCol w:w="2976"/>
      </w:tblGrid>
      <w:tr>
        <w:trPr>
          <w:trHeight w:val="1393" w:hRule="atLeast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Cabealho"/>
              <w:jc w:val="center"/>
              <w:rPr>
                <w:rFonts w:ascii="Calibri" w:hAnsi="Calibri" w:asciiTheme="minorHAnsi" w:hAnsiTheme="minorHAnsi"/>
                <w:b/>
                <w:b/>
                <w:lang w:val="pt-BR"/>
              </w:rPr>
            </w:pPr>
            <w:r>
              <w:rPr>
                <w:rFonts w:ascii="Calibri" w:hAnsi="Calibri" w:asciiTheme="minorHAnsi" w:hAnsiTheme="minorHAnsi"/>
                <w:b/>
                <w:lang w:val="pt-BR"/>
              </w:rPr>
              <w:t>Embaixada da França</w:t>
            </w:r>
          </w:p>
          <w:p>
            <w:pPr>
              <w:pStyle w:val="Cabealho"/>
              <w:jc w:val="center"/>
              <w:rPr>
                <w:rFonts w:ascii="Calibri" w:hAnsi="Calibri" w:asciiTheme="minorHAnsi" w:hAnsiTheme="minorHAnsi"/>
                <w:b/>
                <w:b/>
                <w:lang w:val="pt-BR"/>
              </w:rPr>
            </w:pPr>
            <w:r>
              <w:rPr>
                <w:rFonts w:ascii="Calibri" w:hAnsi="Calibri" w:asciiTheme="minorHAnsi" w:hAnsiTheme="minorHAnsi"/>
                <w:b/>
                <w:lang w:val="pt-BR"/>
              </w:rPr>
              <w:t>no Brasil</w:t>
            </w:r>
          </w:p>
          <w:p>
            <w:pPr>
              <w:pStyle w:val="Cabealho"/>
              <w:spacing w:before="12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  <w:szCs w:val="20"/>
                <w:lang w:val="pt-BR"/>
              </w:rPr>
            </w:pPr>
            <w:r>
              <w:rPr>
                <w:rFonts w:ascii="Calibri" w:hAnsi="Calibri" w:asciiTheme="minorHAnsi" w:hAnsiTheme="minorHAnsi"/>
                <w:b/>
                <w:sz w:val="20"/>
                <w:szCs w:val="20"/>
                <w:lang w:val="pt-BR"/>
              </w:rPr>
              <w:t>Serviço de cooperação</w:t>
            </w:r>
          </w:p>
          <w:p>
            <w:pPr>
              <w:pStyle w:val="Cabealho"/>
              <w:jc w:val="center"/>
              <w:rPr>
                <w:rFonts w:ascii="Calibri" w:hAnsi="Calibri" w:asciiTheme="minorHAnsi" w:hAnsiTheme="minorHAnsi"/>
                <w:b/>
                <w:b/>
                <w:sz w:val="18"/>
                <w:szCs w:val="18"/>
                <w:lang w:val="pt-BR"/>
              </w:rPr>
            </w:pPr>
            <w:r>
              <w:rPr>
                <w:rFonts w:ascii="Calibri" w:hAnsi="Calibri" w:asciiTheme="minorHAnsi" w:hAnsiTheme="minorHAnsi"/>
                <w:b/>
                <w:sz w:val="20"/>
                <w:szCs w:val="20"/>
                <w:lang w:val="pt-BR"/>
              </w:rPr>
              <w:t>e ação cultural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Cabealho"/>
              <w:jc w:val="center"/>
              <w:rPr>
                <w:rFonts w:ascii="Calibri" w:hAnsi="Calibri" w:asciiTheme="minorHAnsi" w:hAnsiTheme="minorHAnsi"/>
                <w:lang w:val="pt-BR"/>
              </w:rPr>
            </w:pPr>
            <w:r>
              <w:rPr/>
              <w:drawing>
                <wp:inline distT="0" distB="0" distL="19050" distR="0">
                  <wp:extent cx="1590040" cy="924560"/>
                  <wp:effectExtent l="0" t="0" r="0" b="0"/>
                  <wp:docPr id="1" name="Imag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92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Cabealho"/>
              <w:jc w:val="center"/>
              <w:rPr>
                <w:rFonts w:ascii="Calibri" w:hAnsi="Calibri" w:asciiTheme="minorHAnsi" w:hAnsiTheme="minorHAnsi"/>
                <w:sz w:val="20"/>
                <w:szCs w:val="20"/>
                <w:lang w:val="pt-BR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  <w:lang w:val="pt-BR"/>
              </w:rPr>
              <w:t xml:space="preserve"> </w:t>
            </w:r>
          </w:p>
          <w:p>
            <w:pPr>
              <w:pStyle w:val="Cabealho"/>
              <w:jc w:val="center"/>
              <w:rPr>
                <w:rFonts w:ascii="Calibri" w:hAnsi="Calibri" w:asciiTheme="minorHAnsi" w:hAnsiTheme="minorHAnsi"/>
                <w:b/>
                <w:b/>
                <w:sz w:val="18"/>
                <w:szCs w:val="18"/>
                <w:lang w:val="pt-BR"/>
              </w:rPr>
            </w:pPr>
            <w:r>
              <w:rPr>
                <w:rFonts w:asciiTheme="minorHAnsi" w:hAnsiTheme="minorHAnsi" w:ascii="Calibri" w:hAnsi="Calibri"/>
                <w:b/>
                <w:sz w:val="18"/>
                <w:szCs w:val="18"/>
                <w:lang w:val="pt-BR"/>
              </w:rPr>
              <w:drawing>
                <wp:anchor behindDoc="0" distT="0" distB="6350" distL="114300" distR="120650" simplePos="0" locked="0" layoutInCell="1" allowOverlap="1" relativeHeight="2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12065</wp:posOffset>
                  </wp:positionV>
                  <wp:extent cx="1669415" cy="603250"/>
                  <wp:effectExtent l="0" t="0" r="0" b="0"/>
                  <wp:wrapNone/>
                  <wp:docPr id="2" name="Image 2" descr="cfquad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cfquad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415" cy="60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jc w:val="center"/>
        <w:rPr>
          <w:rFonts w:ascii="Calibri" w:hAnsi="Calibri" w:asciiTheme="minorHAnsi" w:hAnsiTheme="minorHAnsi"/>
          <w:b/>
          <w:b/>
          <w:lang w:val="pt-BR"/>
        </w:rPr>
      </w:pPr>
      <w:r>
        <w:rPr>
          <w:rFonts w:asciiTheme="minorHAnsi" w:hAnsiTheme="minorHAnsi" w:ascii="Calibri" w:hAnsi="Calibri"/>
          <w:b/>
          <w:lang w:val="pt-BR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i/>
          <w:i/>
          <w:lang w:val="pt-BR"/>
        </w:rPr>
      </w:pPr>
      <w:r>
        <w:rPr>
          <w:rFonts w:ascii="Calibri" w:hAnsi="Calibri" w:asciiTheme="minorHAnsi" w:hAnsiTheme="minorHAnsi"/>
          <w:b/>
          <w:i/>
          <w:lang w:val="pt-BR"/>
        </w:rPr>
        <w:t>ESCOLAS DE VERÃO FRANÇA EXCELÊNCIA</w:t>
      </w:r>
    </w:p>
    <w:p>
      <w:pPr>
        <w:pStyle w:val="Normal"/>
        <w:pBdr>
          <w:bottom w:val="single" w:sz="12" w:space="1" w:color="00000A"/>
        </w:pBdr>
        <w:tabs>
          <w:tab w:val="left" w:pos="5940" w:leader="none"/>
        </w:tabs>
        <w:rPr>
          <w:rFonts w:ascii="Calibri" w:hAnsi="Calibri" w:asciiTheme="minorHAnsi" w:hAnsiTheme="minorHAnsi"/>
          <w:b/>
          <w:b/>
          <w:i/>
          <w:i/>
          <w:lang w:val="pt-BR"/>
        </w:rPr>
      </w:pPr>
      <w:r>
        <w:rPr>
          <w:rFonts w:ascii="Calibri" w:hAnsi="Calibri" w:asciiTheme="minorHAnsi" w:hAnsiTheme="minorHAnsi"/>
          <w:b/>
          <w:i/>
          <w:lang w:val="pt-BR"/>
        </w:rPr>
        <w:tab/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i/>
          <w:i/>
          <w:lang w:val="pt-BR"/>
        </w:rPr>
      </w:pPr>
      <w:r>
        <w:rPr>
          <w:rFonts w:asciiTheme="minorHAnsi" w:hAnsiTheme="minorHAnsi" w:ascii="Calibri" w:hAnsi="Calibri"/>
          <w:b/>
          <w:i/>
          <w:lang w:val="pt-BR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lang w:val="pt-BR"/>
        </w:rPr>
      </w:pPr>
      <w:r>
        <w:rPr>
          <w:rFonts w:ascii="Calibri" w:hAnsi="Calibri" w:asciiTheme="minorHAnsi" w:hAnsiTheme="minorHAnsi"/>
          <w:b/>
          <w:lang w:val="pt-BR"/>
        </w:rPr>
        <w:t>CHAMADA PARA CANDIDATURA</w:t>
      </w:r>
    </w:p>
    <w:p>
      <w:pPr>
        <w:pStyle w:val="Normal"/>
        <w:spacing w:lineRule="atLeast" w:line="280"/>
        <w:jc w:val="center"/>
        <w:rPr>
          <w:rFonts w:ascii="Calibri" w:hAnsi="Calibri" w:asciiTheme="minorHAnsi" w:hAnsiTheme="minorHAnsi"/>
          <w:b/>
          <w:b/>
          <w:i/>
          <w:i/>
          <w:sz w:val="22"/>
          <w:szCs w:val="22"/>
          <w:lang w:val="pt-BR"/>
        </w:rPr>
      </w:pPr>
      <w:r>
        <w:rPr>
          <w:rFonts w:ascii="Calibri" w:hAnsi="Calibri" w:asciiTheme="minorHAnsi" w:hAnsiTheme="minorHAnsi"/>
          <w:b/>
          <w:i/>
          <w:sz w:val="22"/>
          <w:szCs w:val="22"/>
          <w:lang w:val="pt-BR"/>
        </w:rPr>
        <w:t xml:space="preserve">PRAZO DE ENVIO DAS CANDIDATURAS: </w:t>
      </w:r>
      <w:r>
        <w:rPr>
          <w:rFonts w:ascii="Calibri" w:hAnsi="Calibri" w:asciiTheme="minorHAnsi" w:hAnsiTheme="minorHAnsi"/>
          <w:b/>
          <w:i/>
          <w:lang w:val="pt-BR"/>
        </w:rPr>
        <w:t>10 DE ABRIL</w:t>
      </w:r>
      <w:r>
        <w:rPr>
          <w:rFonts w:ascii="Calibri" w:hAnsi="Calibri" w:asciiTheme="minorHAnsi" w:hAnsiTheme="minorHAnsi"/>
          <w:b/>
          <w:lang w:val="pt-BR"/>
        </w:rPr>
        <w:t xml:space="preserve"> </w:t>
      </w:r>
      <w:r>
        <w:rPr>
          <w:rFonts w:ascii="Calibri" w:hAnsi="Calibri" w:asciiTheme="minorHAnsi" w:hAnsiTheme="minorHAnsi"/>
          <w:b/>
          <w:i/>
          <w:sz w:val="22"/>
          <w:szCs w:val="22"/>
          <w:lang w:val="pt-BR"/>
        </w:rPr>
        <w:t>DE 2019</w:t>
      </w:r>
    </w:p>
    <w:p>
      <w:pPr>
        <w:pStyle w:val="Normal"/>
        <w:pBdr>
          <w:bottom w:val="single" w:sz="12" w:space="1" w:color="00000A"/>
        </w:pBdr>
        <w:jc w:val="center"/>
        <w:rPr>
          <w:rFonts w:ascii="Calibri" w:hAnsi="Calibri" w:asciiTheme="minorHAnsi" w:hAnsiTheme="minorHAnsi"/>
          <w:b/>
          <w:b/>
          <w:sz w:val="22"/>
          <w:szCs w:val="22"/>
          <w:lang w:val="pt-BR"/>
        </w:rPr>
      </w:pPr>
      <w:r>
        <w:rPr>
          <w:rFonts w:asciiTheme="minorHAnsi" w:hAnsiTheme="minorHAnsi" w:ascii="Calibri" w:hAnsi="Calibri"/>
          <w:b/>
          <w:sz w:val="22"/>
          <w:szCs w:val="22"/>
          <w:lang w:val="pt-BR"/>
        </w:rPr>
      </w:r>
    </w:p>
    <w:p>
      <w:pPr>
        <w:pStyle w:val="Normal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Além de ser um país romântico, a França é também um grande país científico voltado para o futuro e que se orgulha de sua história marcada por muitos sucessos (64 prêmios Nobel, 13 medalhas Fields). As universidades francesas, espalhadas em todo o território nacional, estão entre as mais antigas do mundo e dispõem de laboratórios que estão na vanguarda do conhecimento, da ciência fundamental e da tecnologia. </w:t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Visto o grande número de estudantes brasileiros que mostraram interesse e foram aceitos pelas universidades francesas em 2018, a Embaixada da França no Brasil (SCAC-IFB), em colaboração com a agência Campus France, decidiu lançar mais uma chamada para candidaturas para o programa “Escolas de verão França Excelência”.  </w:t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Afim de permitir uma maior visibilidade de oportunidades de doutorado em cotutela ou codireção na França, bem como facilitar contatos e encontros entre estudantes e possíveis futuros orientadores, a Embaixada apoia </w:t>
      </w:r>
      <w:r>
        <w:rPr>
          <w:rFonts w:ascii="Calibri" w:hAnsi="Calibri" w:asciiTheme="minorHAnsi" w:hAnsiTheme="minorHAnsi"/>
          <w:b/>
          <w:lang w:val="pt-BR"/>
        </w:rPr>
        <w:t>a organização de cursos de iniciação à pesquisa</w:t>
      </w:r>
      <w:r>
        <w:rPr>
          <w:rFonts w:ascii="Calibri" w:hAnsi="Calibri" w:asciiTheme="minorHAnsi" w:hAnsiTheme="minorHAnsi"/>
          <w:lang w:val="pt-BR"/>
        </w:rPr>
        <w:t xml:space="preserve"> </w:t>
      </w:r>
      <w:r>
        <w:rPr>
          <w:rFonts w:ascii="Calibri" w:hAnsi="Calibri" w:asciiTheme="minorHAnsi" w:hAnsiTheme="minorHAnsi"/>
          <w:b/>
          <w:lang w:val="pt-BR"/>
        </w:rPr>
        <w:t>na França</w:t>
      </w:r>
      <w:r>
        <w:rPr>
          <w:rFonts w:ascii="Calibri" w:hAnsi="Calibri" w:asciiTheme="minorHAnsi" w:hAnsiTheme="minorHAnsi"/>
          <w:lang w:val="pt-BR"/>
        </w:rPr>
        <w:t xml:space="preserve"> dirigidos a </w:t>
      </w:r>
      <w:r>
        <w:rPr>
          <w:rFonts w:ascii="Calibri" w:hAnsi="Calibri" w:asciiTheme="minorHAnsi" w:hAnsiTheme="minorHAnsi"/>
          <w:b/>
          <w:lang w:val="pt-BR"/>
        </w:rPr>
        <w:t>um público de estudantes brasileiros</w:t>
      </w:r>
      <w:r>
        <w:rPr>
          <w:rFonts w:ascii="Calibri" w:hAnsi="Calibri" w:asciiTheme="minorHAnsi" w:hAnsiTheme="minorHAnsi"/>
          <w:lang w:val="pt-BR"/>
        </w:rPr>
        <w:t>.</w:t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Através do programa “Escolas de verão França Excelência”, mestrandos ou estudantes do primeiro ano do doutorado poderão se beneficiar desse know-how francês para iniciar-se na pesquisa científica ou aprofundar seu conhecimento e suas técnicas nessa área e ao mesmo tempo descobrir a França, o que lhes permitirá preparar da melhor forma possível suas entradas futuras no doutorado em laboratórios franceses. </w:t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O objetivo desse programa é favorecer o contato entre estudantes brasileiros e orientadores franceses, atuando assim como um de intermediário entre os meios específicos já existentes, mas onerosos e restritos (contato científico existente, bolsa de mestrado 2), e um contato limitado com uma simples “adequação” de um projeto a um perfil. Através dessas escolas de verão os candidatos poderão identificar um tema de pesquisa e um orientador para preparar seus projetos durante o último ano de mestrado ou o primeiro ano de doutorado. </w:t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b/>
          <w:lang w:val="pt-BR"/>
        </w:rPr>
        <w:t xml:space="preserve">Os candidatos selecionados (que devem obrigatoriamente estar matriculados no mestrado ou cursando o primeiro ano do doutorado) </w:t>
      </w:r>
      <w:r>
        <w:rPr>
          <w:rFonts w:ascii="Calibri" w:hAnsi="Calibri" w:asciiTheme="minorHAnsi" w:hAnsiTheme="minorHAnsi"/>
          <w:lang w:val="pt-BR"/>
        </w:rPr>
        <w:t xml:space="preserve">realizarão um mês de estudo especializado numa universidade francesa. Esses estudantes cumprirão </w:t>
      </w:r>
      <w:r>
        <w:rPr>
          <w:rFonts w:ascii="Calibri" w:hAnsi="Calibri" w:asciiTheme="minorHAnsi" w:hAnsiTheme="minorHAnsi"/>
          <w:b/>
          <w:lang w:val="pt-BR"/>
        </w:rPr>
        <w:t>um programa composto principalmente por cursos de nível de mestrado 2, ministrados em inglês centrados numa temática específica</w:t>
      </w:r>
      <w:r>
        <w:rPr>
          <w:rFonts w:ascii="Calibri" w:hAnsi="Calibri" w:asciiTheme="minorHAnsi" w:hAnsiTheme="minorHAnsi"/>
          <w:lang w:val="pt-BR"/>
        </w:rPr>
        <w:t xml:space="preserve">, e oferecidos por professores-pesquisadores vindos de diferentes universidades. </w:t>
      </w:r>
    </w:p>
    <w:p>
      <w:pPr>
        <w:pStyle w:val="Normal"/>
        <w:spacing w:lineRule="atLeast" w:line="280" w:before="120" w:after="0"/>
        <w:jc w:val="both"/>
        <w:rPr>
          <w:rFonts w:ascii="Calibri" w:hAnsi="Calibri" w:asciiTheme="minorHAnsi" w:hAnsiTheme="minorHAnsi"/>
          <w:b/>
          <w:b/>
          <w:lang w:val="pt-BR"/>
        </w:rPr>
      </w:pPr>
      <w:r>
        <w:rPr>
          <w:rFonts w:ascii="Calibri" w:hAnsi="Calibri" w:asciiTheme="minorHAnsi" w:hAnsiTheme="minorHAnsi"/>
          <w:b/>
          <w:lang w:val="pt-BR"/>
        </w:rPr>
        <w:t>Um bom nível de Inglês é necessário.</w:t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>Os programas das Escolas de verão compreendem trabalho prático supervisionado, módulos de iniciação para pesquisa com doutorandos e pesquisadores (futuros orientadores desses potenciais doutorandos), cursos de francês e uma introdução à cultura francesa.</w:t>
      </w:r>
    </w:p>
    <w:p>
      <w:pPr>
        <w:pStyle w:val="Normal"/>
        <w:spacing w:lineRule="atLeast" w:line="280" w:before="120" w:after="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>As informações relativas ao programa de cada curso de verão (carga horária, currículos detalhados, possíveis deslocamentos, assistência moradia...) estão disponíveis no site de Campus France China (http://www.chine.campusfrance.org/fr/preparing-for-a-phd-through-the-france-excellence-summer-schools-program).</w:t>
      </w:r>
    </w:p>
    <w:p>
      <w:pPr>
        <w:pStyle w:val="Normal"/>
        <w:spacing w:lineRule="atLeast" w:line="280" w:before="120" w:after="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b/>
          <w:lang w:val="pt-BR"/>
        </w:rPr>
        <w:t>As candidaturas que receberem as melhores avaliações dos organizadores destas escolas de verão poderão (dentro de um limite de até 40 estudantes) beneficiar da viagem ida e volta custeada pela embaixada da França (SCAC-IFB</w:t>
      </w:r>
      <w:r>
        <w:rPr>
          <w:rFonts w:ascii="Calibri" w:hAnsi="Calibri" w:asciiTheme="minorHAnsi" w:hAnsiTheme="minorHAnsi"/>
          <w:lang w:val="pt-BR"/>
        </w:rPr>
        <w:t xml:space="preserve">). No entanto, a inscrição e outros benefícios, que variam de acordo com a universidade escolhida estarão a cargo dos estudantes. </w:t>
      </w:r>
      <w:r>
        <w:rPr>
          <w:rStyle w:val="Tlidtranslation"/>
          <w:rFonts w:ascii="Calibri" w:hAnsi="Calibri" w:asciiTheme="minorHAnsi" w:hAnsiTheme="minorHAnsi"/>
          <w:lang w:val="pt-BR"/>
        </w:rPr>
        <w:t>Além de recursos pessoais, eles podem buscar financiamento de sua instituição de origem (particularmente as universidades selecionadas no programa PrInt) ou outras fontes, como por exemplo as Fundações de Apoio à Pesquisa (FAPs) de cada estado do Brasil.</w:t>
      </w:r>
    </w:p>
    <w:p>
      <w:pPr>
        <w:pStyle w:val="Normal"/>
        <w:spacing w:lineRule="atLeast" w:line="280" w:before="120" w:after="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Os custos geralmente incluem: </w:t>
      </w:r>
    </w:p>
    <w:p>
      <w:pPr>
        <w:pStyle w:val="ListParagraph"/>
        <w:numPr>
          <w:ilvl w:val="0"/>
          <w:numId w:val="1"/>
        </w:numPr>
        <w:spacing w:lineRule="atLeast" w:line="280" w:before="40" w:after="0"/>
        <w:ind w:left="714" w:hanging="357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Cursos científicos em inglês; </w:t>
      </w:r>
    </w:p>
    <w:p>
      <w:pPr>
        <w:pStyle w:val="ListParagraph"/>
        <w:numPr>
          <w:ilvl w:val="0"/>
          <w:numId w:val="1"/>
        </w:numPr>
        <w:spacing w:lineRule="atLeast" w:line="280" w:before="40" w:after="0"/>
        <w:ind w:left="714" w:hanging="357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Sessões de iniciação à pesquisa em um formato adaptado à disciplina cursada; </w:t>
      </w:r>
    </w:p>
    <w:p>
      <w:pPr>
        <w:pStyle w:val="ListParagraph"/>
        <w:numPr>
          <w:ilvl w:val="0"/>
          <w:numId w:val="1"/>
        </w:numPr>
        <w:spacing w:lineRule="atLeast" w:line="280" w:before="40" w:after="0"/>
        <w:ind w:left="714" w:hanging="357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>Aulas de francês (língua estrangeira);</w:t>
      </w:r>
    </w:p>
    <w:p>
      <w:pPr>
        <w:pStyle w:val="ListParagraph"/>
        <w:numPr>
          <w:ilvl w:val="0"/>
          <w:numId w:val="1"/>
        </w:numPr>
        <w:spacing w:lineRule="atLeast" w:line="280" w:before="40" w:after="0"/>
        <w:ind w:left="714" w:hanging="357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>Atividades culturais escolhidas;</w:t>
      </w:r>
    </w:p>
    <w:p>
      <w:pPr>
        <w:pStyle w:val="ListParagraph"/>
        <w:numPr>
          <w:ilvl w:val="0"/>
          <w:numId w:val="1"/>
        </w:numPr>
        <w:spacing w:lineRule="atLeast" w:line="280" w:before="40" w:after="0"/>
        <w:ind w:left="714" w:hanging="357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Se a escola prevê cursos que serão ministrados em lugares diferentes, a prestação inclui custos de transporte entre os dois locais; </w:t>
      </w:r>
    </w:p>
    <w:p>
      <w:pPr>
        <w:pStyle w:val="ListParagraph"/>
        <w:numPr>
          <w:ilvl w:val="0"/>
          <w:numId w:val="1"/>
        </w:numPr>
        <w:spacing w:lineRule="atLeast" w:line="280" w:before="40" w:after="0"/>
        <w:ind w:left="714" w:hanging="357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Transporte local (incluindo visitas culturais); </w:t>
      </w:r>
    </w:p>
    <w:p>
      <w:pPr>
        <w:pStyle w:val="ListParagraph"/>
        <w:numPr>
          <w:ilvl w:val="0"/>
          <w:numId w:val="1"/>
        </w:numPr>
        <w:spacing w:lineRule="atLeast" w:line="280" w:before="40" w:after="0"/>
        <w:ind w:left="714" w:hanging="357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>Alojamento em locais perto do prédio dos cursos;</w:t>
      </w:r>
    </w:p>
    <w:p>
      <w:pPr>
        <w:pStyle w:val="ListParagraph"/>
        <w:numPr>
          <w:ilvl w:val="0"/>
          <w:numId w:val="1"/>
        </w:numPr>
        <w:spacing w:lineRule="atLeast" w:line="280" w:before="40" w:after="0"/>
        <w:ind w:left="714" w:hanging="357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>Refeições.</w:t>
      </w:r>
    </w:p>
    <w:p>
      <w:pPr>
        <w:pStyle w:val="Normal"/>
        <w:spacing w:lineRule="atLeast" w:line="280" w:before="120" w:after="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Notem que pode haver algumas exceções de acordo com a Escola de verão escolhida (ver site Campus France China).  </w:t>
      </w:r>
    </w:p>
    <w:p>
      <w:pPr>
        <w:pStyle w:val="Normal"/>
        <w:spacing w:lineRule="atLeast" w:line="280" w:before="120" w:after="0"/>
        <w:jc w:val="center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>Os estudantes interessados deverão se candidatar na plataforma online:</w:t>
      </w:r>
    </w:p>
    <w:p>
      <w:pPr>
        <w:pStyle w:val="Normal"/>
        <w:spacing w:lineRule="atLeast" w:line="280" w:before="60" w:after="0"/>
        <w:jc w:val="center"/>
        <w:rPr/>
      </w:pPr>
      <w:hyperlink r:id="rId4">
        <w:r>
          <w:rPr>
            <w:rStyle w:val="LinkdaInternet"/>
            <w:rFonts w:ascii="Roboto" w:hAnsi="Roboto"/>
            <w:sz w:val="20"/>
            <w:szCs w:val="20"/>
            <w:lang w:val="pt-BR"/>
          </w:rPr>
          <w:t>https://campusfrance.smapply.io/prog/summer_school_france_excellence_2019_brasil_only</w:t>
        </w:r>
      </w:hyperlink>
    </w:p>
    <w:p>
      <w:pPr>
        <w:pStyle w:val="Normal"/>
        <w:spacing w:lineRule="atLeast" w:line="280" w:before="60" w:after="0"/>
        <w:jc w:val="center"/>
        <w:rPr>
          <w:rFonts w:ascii="Calibri" w:hAnsi="Calibri" w:asciiTheme="minorHAnsi" w:hAnsiTheme="minorHAnsi"/>
          <w:b/>
          <w:b/>
          <w:lang w:val="pt-BR"/>
        </w:rPr>
      </w:pPr>
      <w:r>
        <w:rPr>
          <w:rFonts w:ascii="Calibri" w:hAnsi="Calibri" w:asciiTheme="minorHAnsi" w:hAnsiTheme="minorHAnsi"/>
          <w:b/>
          <w:lang w:val="pt-BR"/>
        </w:rPr>
        <w:t>antes do dia 10 de abril de 2019.</w:t>
      </w:r>
    </w:p>
    <w:p>
      <w:pPr>
        <w:pStyle w:val="Normal"/>
        <w:spacing w:lineRule="atLeast" w:line="280" w:before="120" w:after="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b/>
          <w:lang w:val="pt-BR"/>
        </w:rPr>
        <w:t xml:space="preserve">Os estudantes selecionados deverão pagar as tarifas referentes ao curso de verão diretamente as universidades organizadoras. </w:t>
      </w:r>
      <w:r>
        <w:rPr>
          <w:rFonts w:ascii="Calibri" w:hAnsi="Calibri" w:asciiTheme="minorHAnsi" w:hAnsiTheme="minorHAnsi"/>
          <w:lang w:val="pt-BR"/>
        </w:rPr>
        <w:t>As modalidades de pagamento serão transmitidas com o anuncio das seleções.</w:t>
      </w:r>
    </w:p>
    <w:p>
      <w:pPr>
        <w:pStyle w:val="Normal"/>
        <w:spacing w:lineRule="atLeast" w:line="280"/>
        <w:jc w:val="both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pStyle w:val="Normal"/>
        <w:spacing w:lineRule="atLeast" w:line="280" w:before="0" w:after="60"/>
        <w:jc w:val="both"/>
        <w:rPr>
          <w:rFonts w:ascii="Calibri" w:hAnsi="Calibri" w:asciiTheme="minorHAnsi" w:hAnsiTheme="minorHAnsi"/>
          <w:b/>
          <w:b/>
          <w:lang w:val="pt-BR"/>
        </w:rPr>
      </w:pPr>
      <w:r>
        <w:rPr>
          <w:rFonts w:ascii="Calibri" w:hAnsi="Calibri" w:asciiTheme="minorHAnsi" w:hAnsiTheme="minorHAnsi"/>
          <w:b/>
          <w:u w:val="single"/>
          <w:lang w:val="pt-BR"/>
        </w:rPr>
        <w:t>Calendário:</w:t>
      </w:r>
    </w:p>
    <w:tbl>
      <w:tblPr>
        <w:tblStyle w:val="Grilledutableau"/>
        <w:tblW w:w="880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066"/>
        <w:gridCol w:w="2741"/>
      </w:tblGrid>
      <w:tr>
        <w:trPr>
          <w:trHeight w:val="309" w:hRule="atLeast"/>
        </w:trPr>
        <w:tc>
          <w:tcPr>
            <w:tcW w:w="606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Tahoma" w:asciiTheme="minorHAnsi" w:hAnsiTheme="minorHAnsi"/>
                <w:sz w:val="22"/>
                <w:szCs w:val="22"/>
                <w:lang w:val="pt-BR"/>
              </w:rPr>
            </w:pPr>
            <w:r>
              <w:rPr>
                <w:rFonts w:cs="Tahoma" w:ascii="Calibri" w:hAnsi="Calibri" w:asciiTheme="minorHAnsi" w:hAnsiTheme="minorHAnsi"/>
                <w:sz w:val="22"/>
                <w:szCs w:val="22"/>
                <w:lang w:val="pt-BR"/>
              </w:rPr>
              <w:t xml:space="preserve">Prazo para a apresentação de candidaturas </w:t>
            </w:r>
          </w:p>
        </w:tc>
        <w:tc>
          <w:tcPr>
            <w:tcW w:w="27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Tahoma" w:asciiTheme="minorHAnsi" w:hAnsiTheme="minorHAnsi"/>
                <w:b/>
                <w:b/>
                <w:sz w:val="22"/>
                <w:szCs w:val="22"/>
                <w:lang w:val="pt-BR"/>
              </w:rPr>
            </w:pPr>
            <w:r>
              <w:rPr>
                <w:rFonts w:cs="Tahoma" w:ascii="Calibri" w:hAnsi="Calibri" w:asciiTheme="minorHAnsi" w:hAnsiTheme="minorHAnsi"/>
                <w:b/>
                <w:sz w:val="22"/>
                <w:szCs w:val="22"/>
                <w:lang w:val="pt-BR"/>
              </w:rPr>
              <w:t>10 de abril de 2019</w:t>
            </w:r>
          </w:p>
        </w:tc>
      </w:tr>
      <w:tr>
        <w:trPr>
          <w:trHeight w:val="309" w:hRule="atLeast"/>
        </w:trPr>
        <w:tc>
          <w:tcPr>
            <w:tcW w:w="606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Tahoma" w:asciiTheme="minorHAnsi" w:hAnsiTheme="minorHAnsi"/>
                <w:sz w:val="22"/>
                <w:szCs w:val="22"/>
                <w:lang w:val="pt-BR"/>
              </w:rPr>
            </w:pPr>
            <w:r>
              <w:rPr>
                <w:rFonts w:cs="Tahoma" w:ascii="Calibri" w:hAnsi="Calibri" w:asciiTheme="minorHAnsi" w:hAnsiTheme="minorHAnsi"/>
                <w:sz w:val="22"/>
                <w:szCs w:val="22"/>
                <w:lang w:val="pt-BR"/>
              </w:rPr>
              <w:t xml:space="preserve">Resultado das seleções </w:t>
            </w:r>
          </w:p>
        </w:tc>
        <w:tc>
          <w:tcPr>
            <w:tcW w:w="27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Tahoma" w:asciiTheme="minorHAnsi" w:hAnsiTheme="minorHAnsi"/>
                <w:b/>
                <w:b/>
                <w:sz w:val="22"/>
                <w:szCs w:val="22"/>
                <w:lang w:val="pt-BR"/>
              </w:rPr>
            </w:pPr>
            <w:r>
              <w:rPr>
                <w:rFonts w:cs="Tahoma" w:ascii="Calibri" w:hAnsi="Calibri" w:asciiTheme="minorHAnsi" w:hAnsiTheme="minorHAnsi"/>
                <w:b/>
                <w:sz w:val="22"/>
                <w:szCs w:val="22"/>
                <w:lang w:val="pt-BR"/>
              </w:rPr>
              <w:t>13 de maio de 2019</w:t>
            </w:r>
          </w:p>
        </w:tc>
      </w:tr>
      <w:tr>
        <w:trPr>
          <w:trHeight w:val="471" w:hRule="atLeast"/>
        </w:trPr>
        <w:tc>
          <w:tcPr>
            <w:tcW w:w="606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Tahoma" w:asciiTheme="minorHAnsi" w:hAnsiTheme="minorHAnsi"/>
                <w:sz w:val="22"/>
                <w:szCs w:val="22"/>
                <w:lang w:val="pt-BR"/>
              </w:rPr>
            </w:pPr>
            <w:r>
              <w:rPr>
                <w:rFonts w:cs="Tahoma" w:ascii="Calibri" w:hAnsi="Calibri" w:asciiTheme="minorHAnsi" w:hAnsiTheme="minorHAnsi"/>
                <w:sz w:val="22"/>
                <w:szCs w:val="22"/>
                <w:lang w:val="pt-BR"/>
              </w:rPr>
              <w:t>Resultado das seleções para as ajudas (passagens aéreas) da Embaixada da França</w:t>
            </w:r>
          </w:p>
        </w:tc>
        <w:tc>
          <w:tcPr>
            <w:tcW w:w="27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Tahoma" w:asciiTheme="minorHAnsi" w:hAnsiTheme="minorHAnsi"/>
                <w:b/>
                <w:b/>
                <w:sz w:val="22"/>
                <w:szCs w:val="22"/>
                <w:lang w:val="pt-BR"/>
              </w:rPr>
            </w:pPr>
            <w:r>
              <w:rPr>
                <w:rFonts w:cs="Tahoma" w:ascii="Calibri" w:hAnsi="Calibri" w:asciiTheme="minorHAnsi" w:hAnsiTheme="minorHAnsi"/>
                <w:b/>
                <w:sz w:val="22"/>
                <w:szCs w:val="22"/>
                <w:lang w:val="pt-BR"/>
              </w:rPr>
              <w:t>15 de maio de 2019</w:t>
            </w:r>
          </w:p>
        </w:tc>
      </w:tr>
      <w:tr>
        <w:trPr>
          <w:trHeight w:val="324" w:hRule="atLeast"/>
        </w:trPr>
        <w:tc>
          <w:tcPr>
            <w:tcW w:w="606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Tahoma" w:asciiTheme="minorHAnsi" w:hAnsiTheme="minorHAnsi"/>
                <w:b/>
                <w:b/>
                <w:sz w:val="22"/>
                <w:szCs w:val="22"/>
                <w:u w:val="single"/>
                <w:lang w:val="pt-BR"/>
              </w:rPr>
            </w:pPr>
            <w:r>
              <w:rPr>
                <w:rFonts w:cs="Tahoma" w:ascii="Calibri" w:hAnsi="Calibri" w:asciiTheme="minorHAnsi" w:hAnsiTheme="minorHAnsi"/>
                <w:sz w:val="22"/>
                <w:szCs w:val="22"/>
                <w:lang w:val="pt-BR"/>
              </w:rPr>
              <w:t xml:space="preserve">Prazo de pagamento </w:t>
            </w:r>
          </w:p>
        </w:tc>
        <w:tc>
          <w:tcPr>
            <w:tcW w:w="27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Tahoma" w:asciiTheme="minorHAnsi" w:hAnsiTheme="minorHAnsi"/>
                <w:b/>
                <w:b/>
                <w:sz w:val="22"/>
                <w:szCs w:val="22"/>
                <w:lang w:val="pt-BR"/>
              </w:rPr>
            </w:pPr>
            <w:r>
              <w:rPr>
                <w:rFonts w:cs="Tahoma" w:ascii="Calibri" w:hAnsi="Calibri" w:asciiTheme="minorHAnsi" w:hAnsiTheme="minorHAnsi"/>
                <w:b/>
                <w:sz w:val="22"/>
                <w:szCs w:val="22"/>
                <w:lang w:val="pt-BR"/>
              </w:rPr>
              <w:t>3 de junho de 2019</w:t>
            </w:r>
          </w:p>
        </w:tc>
      </w:tr>
    </w:tbl>
    <w:p>
      <w:pPr>
        <w:pStyle w:val="Normal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pStyle w:val="Normal"/>
        <w:rPr/>
      </w:pPr>
      <w:r>
        <w:rPr>
          <w:rFonts w:ascii="Calibri" w:hAnsi="Calibri" w:asciiTheme="minorHAnsi" w:hAnsiTheme="minorHAnsi"/>
          <w:lang w:val="pt-BR"/>
        </w:rPr>
        <w:t xml:space="preserve">Contato: Nicolas Apoteker : </w:t>
      </w:r>
      <w:hyperlink r:id="rId5">
        <w:r>
          <w:rPr>
            <w:rStyle w:val="LinkdaInternet"/>
            <w:rFonts w:ascii="Calibri" w:hAnsi="Calibri" w:asciiTheme="minorHAnsi" w:hAnsiTheme="minorHAnsi"/>
            <w:lang w:val="pt-BR"/>
          </w:rPr>
          <w:t>nicolas.apoteker@diplomatie.gouv.fr</w:t>
        </w:r>
      </w:hyperlink>
      <w:r>
        <w:rPr>
          <w:rFonts w:ascii="Calibri" w:hAnsi="Calibri" w:asciiTheme="minorHAnsi" w:hAnsiTheme="minorHAnsi"/>
          <w:lang w:val="pt-BR"/>
        </w:rPr>
        <w:t xml:space="preserve"> / (+55 61) 3222 3885</w:t>
      </w:r>
    </w:p>
    <w:p>
      <w:pPr>
        <w:pStyle w:val="Normal"/>
        <w:rPr>
          <w:rFonts w:ascii="Calibri" w:hAnsi="Calibri" w:asciiTheme="minorHAnsi" w:hAnsiTheme="minorHAnsi"/>
          <w:lang w:val="pt-BR"/>
        </w:rPr>
      </w:pPr>
      <w:r>
        <w:rPr>
          <w:rFonts w:asciiTheme="minorHAnsi" w:hAnsiTheme="minorHAnsi" w:ascii="Calibri" w:hAnsi="Calibri"/>
          <w:lang w:val="pt-BR"/>
        </w:rPr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360" w:charSpace="4294961151"/>
        </w:sectPr>
        <w:pStyle w:val="Normal"/>
        <w:rPr>
          <w:rFonts w:ascii="Calibri" w:hAnsi="Calibri" w:asciiTheme="minorHAnsi" w:hAnsiTheme="minorHAnsi"/>
          <w:lang w:val="pt-BR"/>
        </w:rPr>
      </w:pPr>
      <w:r>
        <w:rPr>
          <w:rFonts w:ascii="Calibri" w:hAnsi="Calibri" w:asciiTheme="minorHAnsi" w:hAnsiTheme="minorHAnsi"/>
          <w:lang w:val="pt-BR"/>
        </w:rPr>
        <w:t xml:space="preserve">Segue </w:t>
      </w:r>
      <w:bookmarkStart w:id="0" w:name="__DdeLink__1049_2855053954"/>
      <w:r>
        <w:rPr>
          <w:rFonts w:ascii="Calibri" w:hAnsi="Calibri" w:asciiTheme="minorHAnsi" w:hAnsiTheme="minorHAnsi"/>
          <w:lang w:val="pt-BR"/>
        </w:rPr>
        <w:t xml:space="preserve">a </w:t>
      </w:r>
      <w:r>
        <w:rPr>
          <w:rFonts w:ascii="Calibri" w:hAnsi="Calibri" w:asciiTheme="minorHAnsi" w:hAnsiTheme="minorHAnsi"/>
          <w:b/>
          <w:lang w:val="pt-BR"/>
        </w:rPr>
        <w:t>lista das Escolas de verão oferecidas em 2019</w:t>
      </w:r>
      <w:bookmarkEnd w:id="0"/>
      <w:r>
        <w:rPr>
          <w:rFonts w:ascii="Calibri" w:hAnsi="Calibri" w:asciiTheme="minorHAnsi" w:hAnsiTheme="minorHAnsi"/>
          <w:lang w:val="pt-BR"/>
        </w:rPr>
        <w:t>:</w:t>
      </w:r>
    </w:p>
    <w:tbl>
      <w:tblPr>
        <w:tblpPr w:bottomFromText="0" w:horzAnchor="margin" w:leftFromText="141" w:rightFromText="141" w:tblpX="0" w:tblpXSpec="center" w:tblpY="109" w:topFromText="0" w:vertAnchor="text"/>
        <w:tblW w:w="14387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487"/>
        <w:gridCol w:w="1560"/>
        <w:gridCol w:w="2835"/>
        <w:gridCol w:w="2127"/>
        <w:gridCol w:w="3969"/>
        <w:gridCol w:w="1275"/>
        <w:gridCol w:w="1133"/>
      </w:tblGrid>
      <w:tr>
        <w:trPr>
          <w:trHeight w:val="87" w:hRule="atLeast"/>
        </w:trPr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b/>
                <w:b/>
                <w:bCs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b/>
                <w:bCs/>
                <w:color w:val="000000"/>
                <w:sz w:val="18"/>
                <w:szCs w:val="18"/>
                <w:lang w:val="pt-BR"/>
              </w:rPr>
              <w:t>Nome do programa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b/>
                <w:b/>
                <w:bCs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b/>
                <w:bCs/>
                <w:color w:val="000000"/>
                <w:sz w:val="18"/>
                <w:szCs w:val="18"/>
                <w:lang w:val="pt-BR"/>
              </w:rPr>
              <w:t>Cidade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b/>
                <w:b/>
                <w:bCs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b/>
                <w:bCs/>
                <w:color w:val="000000"/>
                <w:sz w:val="18"/>
                <w:szCs w:val="18"/>
                <w:lang w:val="pt-BR"/>
              </w:rPr>
              <w:t>Universidade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b/>
                <w:b/>
                <w:bCs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b/>
                <w:bCs/>
                <w:color w:val="000000"/>
                <w:sz w:val="18"/>
                <w:szCs w:val="18"/>
                <w:lang w:val="pt-BR"/>
              </w:rPr>
              <w:t>Matéria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b/>
                <w:b/>
                <w:bCs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b/>
                <w:bCs/>
                <w:color w:val="000000"/>
                <w:sz w:val="18"/>
                <w:szCs w:val="18"/>
                <w:lang w:val="pt-BR"/>
              </w:rPr>
              <w:t>Temática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b/>
                <w:b/>
                <w:bCs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b/>
                <w:bCs/>
                <w:color w:val="000000"/>
                <w:sz w:val="18"/>
                <w:szCs w:val="18"/>
                <w:lang w:val="pt-BR"/>
              </w:rPr>
              <w:t>Data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b/>
                <w:b/>
                <w:bCs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b/>
                <w:bCs/>
                <w:color w:val="000000"/>
                <w:sz w:val="18"/>
                <w:szCs w:val="18"/>
                <w:lang w:val="pt-BR"/>
              </w:rPr>
              <w:t>Custo</w:t>
            </w:r>
          </w:p>
        </w:tc>
      </w:tr>
      <w:tr>
        <w:trPr>
          <w:trHeight w:val="315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ANGERS PLANT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Angers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Université d'Angers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BIOLOGY/AGRONOMY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Plant Health and Quality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23/06-19/07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2000 EUROS</w:t>
            </w:r>
          </w:p>
        </w:tc>
      </w:tr>
      <w:tr>
        <w:trPr>
          <w:trHeight w:val="405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CLERMONT &amp; RENNES CHIMIE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Clermont-Ferrand &amp; Rennes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Université Clermont Auvergne / Ecole Nationale Supérieure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ENVIRONMENT / CHEMISTRY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Analysis, Characterization and Remediation of Contaminated Soils and Waters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01/07-25/07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2000 EUROS</w:t>
            </w:r>
          </w:p>
        </w:tc>
      </w:tr>
      <w:tr>
        <w:trPr>
          <w:trHeight w:val="450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LA ROCHELLE  INFO INRIA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La Rochelle &amp; Paris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ComUE d'Aquitaine /Université de La Rochelle &amp; INRIA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DATA SCIENCE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Data Science for Document Analysis and Understanding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01/07-27/07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2900 EUROS</w:t>
            </w:r>
          </w:p>
        </w:tc>
      </w:tr>
      <w:tr>
        <w:trPr>
          <w:trHeight w:val="405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LILLE ARCHI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Lille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Université Lille Nord de France/ ENSAPL et Institut Mines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ARCHITECTURE / SOCIAL SCIENCES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Additive Manufacturing of Complex Shapes for Construction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01/07-26/07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3800 EUROS</w:t>
            </w:r>
          </w:p>
        </w:tc>
      </w:tr>
      <w:tr>
        <w:trPr>
          <w:trHeight w:val="450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LILLE CHIMIE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Lille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Université Lille Nord de France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CHEMISTRY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Sustainable Catalysis: From Fundamental Science to Industrial Practice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01/07-26/07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3000 EUROS</w:t>
            </w:r>
          </w:p>
        </w:tc>
      </w:tr>
      <w:tr>
        <w:trPr>
          <w:trHeight w:val="450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LILLE SANTE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Lille &amp; Beauvais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Universités Lille Nord de France et Lille 2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BIOLOGY / MEDICINE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Impact of Food Processing on Human Health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01/07-26/07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3000 EUROS</w:t>
            </w:r>
          </w:p>
        </w:tc>
      </w:tr>
      <w:tr>
        <w:trPr>
          <w:trHeight w:val="450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LILLE SC PO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Lille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Université Lille Nord de France/Sciences Po Lille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Social and Human Sciences/ Political sciences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 xml:space="preserve">EU/International Affairs 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24/06-19/07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3300 EUROS</w:t>
            </w:r>
          </w:p>
        </w:tc>
      </w:tr>
      <w:tr>
        <w:trPr>
          <w:trHeight w:val="643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PARIS ESTP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 xml:space="preserve">Paris / Cachan </w:t>
            </w:r>
          </w:p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&amp; Troyes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ESTP / EPF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ENGINEERING / CITY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Smart Cities &amp; Engineering for sustainable architecture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01/07-26/07 or 08/07-02/08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3500 EUROS</w:t>
            </w:r>
          </w:p>
        </w:tc>
      </w:tr>
      <w:tr>
        <w:trPr>
          <w:trHeight w:val="315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PARIS EVRY BIO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Evry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DCE6F1" w:fill="FFFFFF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Université Paris Saclay/Université d'Evry Val d'Essonne/Genopole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BIOLOGY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DCE6F1" w:fill="FFFFFF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From single molecule to cell; from fundamental to applications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01/07-19/07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2800 EUROS</w:t>
            </w:r>
          </w:p>
        </w:tc>
      </w:tr>
      <w:tr>
        <w:trPr>
          <w:trHeight w:val="360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Paris ISIT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Paris / Arcueil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ISIT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Social science / Translation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sz w:val="18"/>
                <w:szCs w:val="18"/>
                <w:lang w:val="pt-BR"/>
              </w:rPr>
              <w:t>Intercultural communication, translation and ICT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24/06-19/07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3850 EUROS</w:t>
            </w:r>
          </w:p>
        </w:tc>
      </w:tr>
      <w:tr>
        <w:trPr>
          <w:trHeight w:val="675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PARIS ORSAY AERO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Paris/Orsay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/>
                <w:bCs/>
                <w:sz w:val="18"/>
                <w:szCs w:val="18"/>
                <w:lang w:val="fr-FR"/>
              </w:rPr>
            </w:pPr>
            <w:r>
              <w:rPr>
                <w:rFonts w:ascii="Calibri" w:hAnsi="Calibri"/>
                <w:bCs/>
                <w:sz w:val="18"/>
                <w:szCs w:val="18"/>
                <w:lang w:val="fr-FR"/>
              </w:rPr>
              <w:t>Université Paris Saclay/Université Paris-Sud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/>
                <w:bCs/>
                <w:sz w:val="18"/>
                <w:szCs w:val="18"/>
                <w:lang w:val="pt-BR"/>
              </w:rPr>
            </w:pPr>
            <w:r>
              <w:rPr>
                <w:rFonts w:ascii="Calibri" w:hAnsi="Calibri"/>
                <w:bCs/>
                <w:sz w:val="18"/>
                <w:szCs w:val="18"/>
                <w:lang w:val="pt-BR"/>
              </w:rPr>
              <w:t>Engineering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/>
                <w:bCs/>
                <w:sz w:val="18"/>
                <w:szCs w:val="18"/>
                <w:lang w:val="pt-BR"/>
              </w:rPr>
            </w:pPr>
            <w:r>
              <w:rPr>
                <w:rFonts w:ascii="Calibri" w:hAnsi="Calibri"/>
                <w:bCs/>
                <w:sz w:val="18"/>
                <w:szCs w:val="18"/>
                <w:lang w:val="pt-BR"/>
              </w:rPr>
              <w:t>Aeronautical Engineering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01/07-20/07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3750 EUROS</w:t>
            </w:r>
          </w:p>
        </w:tc>
      </w:tr>
      <w:tr>
        <w:trPr>
          <w:trHeight w:val="675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PARIS ORSAY NANO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Paris / Orsay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/>
                <w:bCs/>
                <w:sz w:val="18"/>
                <w:szCs w:val="18"/>
                <w:lang w:val="fr-FR"/>
              </w:rPr>
            </w:pPr>
            <w:r>
              <w:rPr>
                <w:rFonts w:ascii="Calibri" w:hAnsi="Calibri"/>
                <w:bCs/>
                <w:sz w:val="18"/>
                <w:szCs w:val="18"/>
                <w:lang w:val="fr-FR"/>
              </w:rPr>
              <w:t>Université Paris Saclay/Université Paris-Sud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Physics/Nanosciences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Nanophotonics, nanoelectronics, and nanomagnetism - NANO3 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01/07-20/07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3125 EUROS</w:t>
            </w:r>
          </w:p>
        </w:tc>
      </w:tr>
      <w:tr>
        <w:trPr>
          <w:trHeight w:val="553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TOULOUSE MATH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Toulouse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Institut de Mathématiques de Toulouse/Université Paul Sabatier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en-GB"/>
              </w:rPr>
            </w:pPr>
            <w:bookmarkStart w:id="1" w:name="_GoBack"/>
            <w:bookmarkEnd w:id="1"/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en-GB"/>
              </w:rPr>
              <w:t>Mathematics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sz w:val="18"/>
                <w:szCs w:val="18"/>
              </w:rPr>
              <w:t>Introductive tools in Data Sciences and Geometry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01/07-26/07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</w:rPr>
              <w:t>3300 EUROS</w:t>
            </w:r>
          </w:p>
        </w:tc>
      </w:tr>
      <w:tr>
        <w:trPr>
          <w:trHeight w:val="553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TOULOUSE INGE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Toulouse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INP ENSHEEIT Toulouse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ENGINEERING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sz w:val="18"/>
                <w:szCs w:val="18"/>
              </w:rPr>
              <w:t>Microwaves and Diagnostic for Aerospace Engineering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01/07-27/07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2800 EUROS</w:t>
            </w:r>
          </w:p>
        </w:tc>
      </w:tr>
      <w:tr>
        <w:trPr>
          <w:trHeight w:val="360" w:hRule="atLeast"/>
        </w:trPr>
        <w:tc>
          <w:tcPr>
            <w:tcW w:w="14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VERSAILLES CLIMAT</w:t>
            </w:r>
          </w:p>
        </w:tc>
        <w:tc>
          <w:tcPr>
            <w:tcW w:w="15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Versailles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fr-F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fr-FR"/>
              </w:rPr>
              <w:t>Université de Versailles Saint-Quentin</w:t>
            </w:r>
          </w:p>
        </w:tc>
        <w:tc>
          <w:tcPr>
            <w:tcW w:w="21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ENVIRONMENT/CLIMATE</w:t>
            </w:r>
          </w:p>
        </w:tc>
        <w:tc>
          <w:tcPr>
            <w:tcW w:w="396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rPr>
                <w:rFonts w:ascii="Calibri" w:hAnsi="Calibri" w:eastAsia="Times New Roman" w:asciiTheme="minorHAnsi" w:hAnsiTheme="minorHAnsi"/>
                <w:sz w:val="18"/>
                <w:szCs w:val="18"/>
              </w:rPr>
            </w:pPr>
            <w:r>
              <w:rPr>
                <w:rFonts w:eastAsia="Times New Roman" w:ascii="Calibri" w:hAnsi="Calibri" w:asciiTheme="minorHAnsi" w:hAnsiTheme="minorHAnsi"/>
                <w:sz w:val="18"/>
                <w:szCs w:val="18"/>
              </w:rPr>
              <w:t>Climate change in the Arctic – scientific and societal perspectives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01/07-25/07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Calibri" w:hAnsi="Calibri" w:eastAsia="Times New Roman" w:asciiTheme="minorHAnsi" w:hAnsiTheme="minorHAnsi"/>
                <w:color w:val="000000"/>
                <w:sz w:val="18"/>
                <w:szCs w:val="18"/>
                <w:lang w:val="pt-BR"/>
              </w:rPr>
            </w:pPr>
            <w:r>
              <w:rPr>
                <w:rFonts w:eastAsia="Times New Roman" w:ascii="Calibri" w:hAnsi="Calibri" w:asciiTheme="minorHAnsi" w:hAnsiTheme="minorHAnsi"/>
                <w:color w:val="000000"/>
                <w:sz w:val="18"/>
                <w:szCs w:val="18"/>
                <w:lang w:val="pt-BR"/>
              </w:rPr>
              <w:t>2900 EUROS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Roboto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34aa4"/>
    <w:pPr>
      <w:widowControl/>
      <w:bidi w:val="0"/>
      <w:spacing w:lineRule="auto" w:line="240" w:before="0" w:after="0"/>
      <w:jc w:val="left"/>
    </w:pPr>
    <w:rPr>
      <w:rFonts w:ascii="Times New Roman" w:hAnsi="Times New Roman" w:eastAsia="SimSun" w:cs="Times New Roman"/>
      <w:color w:val="auto"/>
      <w:sz w:val="24"/>
      <w:szCs w:val="24"/>
      <w:lang w:val="en-US" w:eastAsia="fr-F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tteCar" w:customStyle="1">
    <w:name w:val="En-tête Car"/>
    <w:basedOn w:val="DefaultParagraphFont"/>
    <w:link w:val="En-tte"/>
    <w:qFormat/>
    <w:rsid w:val="00234aa4"/>
    <w:rPr>
      <w:rFonts w:ascii="Times New Roman" w:hAnsi="Times New Roman" w:eastAsia="SimSun" w:cs="Times New Roman"/>
      <w:sz w:val="24"/>
      <w:szCs w:val="24"/>
      <w:lang w:val="en-US" w:eastAsia="fr-FR"/>
    </w:rPr>
  </w:style>
  <w:style w:type="character" w:styleId="LinkdaInternet">
    <w:name w:val="Link da Internet"/>
    <w:basedOn w:val="DefaultParagraphFont"/>
    <w:uiPriority w:val="99"/>
    <w:unhideWhenUsed/>
    <w:rsid w:val="00234aa4"/>
    <w:rPr>
      <w:color w:val="0000FF"/>
      <w:u w:val="single"/>
    </w:rPr>
  </w:style>
  <w:style w:type="character" w:styleId="TextedebullesCar" w:customStyle="1">
    <w:name w:val="Texte de bulles Car"/>
    <w:basedOn w:val="DefaultParagraphFont"/>
    <w:link w:val="Textedebulles"/>
    <w:uiPriority w:val="99"/>
    <w:semiHidden/>
    <w:qFormat/>
    <w:rsid w:val="00234aa4"/>
    <w:rPr>
      <w:rFonts w:ascii="Tahoma" w:hAnsi="Tahoma" w:eastAsia="SimSun" w:cs="Tahoma"/>
      <w:sz w:val="16"/>
      <w:szCs w:val="16"/>
      <w:lang w:val="en-US" w:eastAsia="fr-F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d0fc6"/>
    <w:rPr>
      <w:sz w:val="16"/>
      <w:szCs w:val="16"/>
    </w:rPr>
  </w:style>
  <w:style w:type="character" w:styleId="CommentaireCar" w:customStyle="1">
    <w:name w:val="Commentaire Car"/>
    <w:basedOn w:val="DefaultParagraphFont"/>
    <w:link w:val="Commentaire"/>
    <w:uiPriority w:val="99"/>
    <w:semiHidden/>
    <w:qFormat/>
    <w:rsid w:val="00cd0fc6"/>
    <w:rPr>
      <w:rFonts w:ascii="Times New Roman" w:hAnsi="Times New Roman" w:eastAsia="SimSun" w:cs="Times New Roman"/>
      <w:sz w:val="20"/>
      <w:szCs w:val="20"/>
      <w:lang w:val="en-US" w:eastAsia="fr-FR"/>
    </w:rPr>
  </w:style>
  <w:style w:type="character" w:styleId="ObjetducommentaireCar" w:customStyle="1">
    <w:name w:val="Objet du commentaire Car"/>
    <w:basedOn w:val="CommentaireCar"/>
    <w:link w:val="Objetducommentaire"/>
    <w:uiPriority w:val="99"/>
    <w:semiHidden/>
    <w:qFormat/>
    <w:rsid w:val="00cd0fc6"/>
    <w:rPr>
      <w:rFonts w:ascii="Times New Roman" w:hAnsi="Times New Roman" w:eastAsia="SimSun" w:cs="Times New Roman"/>
      <w:b/>
      <w:bCs/>
      <w:sz w:val="20"/>
      <w:szCs w:val="20"/>
      <w:lang w:val="en-US" w:eastAsia="fr-FR"/>
    </w:rPr>
  </w:style>
  <w:style w:type="character" w:styleId="Tlidtranslation" w:customStyle="1">
    <w:name w:val="tlid-translation"/>
    <w:basedOn w:val="DefaultParagraphFont"/>
    <w:qFormat/>
    <w:rsid w:val="00094fd4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En-tteCar"/>
    <w:rsid w:val="00234aa4"/>
    <w:pPr>
      <w:tabs>
        <w:tab w:val="center" w:pos="4320" w:leader="none"/>
        <w:tab w:val="right" w:pos="8640" w:leader="none"/>
      </w:tabs>
    </w:pPr>
    <w:rPr/>
  </w:style>
  <w:style w:type="paragraph" w:styleId="ListParagraph">
    <w:name w:val="List Paragraph"/>
    <w:basedOn w:val="Normal"/>
    <w:uiPriority w:val="34"/>
    <w:qFormat/>
    <w:rsid w:val="00234aa4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234aa4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CommentaireCar"/>
    <w:uiPriority w:val="99"/>
    <w:semiHidden/>
    <w:unhideWhenUsed/>
    <w:qFormat/>
    <w:rsid w:val="00cd0fc6"/>
    <w:pPr/>
    <w:rPr>
      <w:sz w:val="20"/>
      <w:szCs w:val="20"/>
    </w:rPr>
  </w:style>
  <w:style w:type="paragraph" w:styleId="Annotationsubject">
    <w:name w:val="annotation subject"/>
    <w:basedOn w:val="Annotationtext"/>
    <w:link w:val="ObjetducommentaireCar"/>
    <w:uiPriority w:val="99"/>
    <w:semiHidden/>
    <w:unhideWhenUsed/>
    <w:qFormat/>
    <w:rsid w:val="00cd0fc6"/>
    <w:pPr/>
    <w:rPr>
      <w:b/>
      <w:bCs/>
    </w:rPr>
  </w:style>
  <w:style w:type="paragraph" w:styleId="Revision">
    <w:name w:val="Revision"/>
    <w:uiPriority w:val="99"/>
    <w:semiHidden/>
    <w:qFormat/>
    <w:rsid w:val="00cd0fc6"/>
    <w:pPr>
      <w:widowControl/>
      <w:bidi w:val="0"/>
      <w:spacing w:lineRule="auto" w:line="240" w:before="0" w:after="0"/>
      <w:jc w:val="left"/>
    </w:pPr>
    <w:rPr>
      <w:rFonts w:ascii="Times New Roman" w:hAnsi="Times New Roman" w:eastAsia="SimSun" w:cs="Times New Roman"/>
      <w:color w:val="auto"/>
      <w:sz w:val="24"/>
      <w:szCs w:val="24"/>
      <w:lang w:val="en-US" w:eastAsia="fr-F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uiPriority w:val="59"/>
    <w:rsid w:val="00234a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https://campusfrance.smapply.io/prog/summer_school_france_excellence_2019_brasil_only" TargetMode="External"/><Relationship Id="rId5" Type="http://schemas.openxmlformats.org/officeDocument/2006/relationships/hyperlink" Target="mailto:nicolas.apoteker@diplomatie.gouv.fr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LibreOffice/5.3.0.3$Windows_x86 LibreOffice_project/7074905676c47b82bbcfbea1aeefc84afe1c50e1</Application>
  <Pages>4</Pages>
  <Words>1078</Words>
  <Characters>6612</Characters>
  <CharactersWithSpaces>7551</CharactersWithSpaces>
  <Paragraphs>158</Paragraphs>
  <Company>M.A.E.E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2019-03-29T12:52:00Z</dcterms:created>
  <dc:creator>APOTEKER Nicolas</dc:creator>
  <dc:description/>
  <dc:language>es-ES</dc:language>
  <cp:lastModifiedBy>APOTEKER Nicolas</cp:lastModifiedBy>
  <cp:lastPrinted>2019-02-27T18:53:00Z</cp:lastPrinted>
  <dcterms:modified xsi:type="dcterms:W3CDTF">2019-03-29T12:52:00Z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M.A.E.E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