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Subtitle"/>
        <w:spacing w:after="120" w:before="240" w:lineRule="auto"/>
        <w:ind w:left="1080" w:firstLine="0"/>
        <w:contextualSpacing w:val="0"/>
        <w:rPr>
          <w:i w:val="0"/>
          <w:sz w:val="36"/>
          <w:szCs w:val="36"/>
        </w:rPr>
      </w:pPr>
      <w:r w:rsidDel="00000000" w:rsidR="00000000" w:rsidRPr="00000000">
        <w:rPr>
          <w:i w:val="0"/>
          <w:sz w:val="36"/>
          <w:szCs w:val="36"/>
          <w:rtl w:val="0"/>
        </w:rPr>
        <w:t xml:space="preserve">ANEXO IX - JUSTIFICATIVA PARA PADRONIZAÇÃO FURUKAWA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720" w:right="0" w:firstLine="0"/>
        <w:contextualSpacing w:val="0"/>
        <w:jc w:val="center"/>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pPr>
        <w:spacing w:line="360" w:lineRule="auto"/>
        <w:contextualSpacing w:val="0"/>
        <w:rPr>
          <w:rFonts w:ascii="Arial" w:cs="Arial" w:eastAsia="Arial" w:hAnsi="Arial"/>
          <w:sz w:val="20"/>
          <w:szCs w:val="20"/>
          <w:vertAlign w:val="baseline"/>
        </w:rPr>
      </w:pPr>
      <w:r w:rsidDel="00000000" w:rsidR="00000000" w:rsidRPr="00000000">
        <w:rPr>
          <w:rtl w:val="0"/>
        </w:rPr>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Por  se  tratar  de  ampliação,  ajuste,  remanejamento,  readequação  e/ou  manutenção  da infraestrutura  de  rede  de  cabeamento  existente,  e  como  forma  de  garantir  e manter  a padronização  atual,  a  solução  de  cabeamento  deve  ser  a  mesma  empregada  na construção do ambiente que é Furukawa, categoria 5e, 6, 6A e fibra óptica.</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  infraestrutura  do  cabeamento  existente  foi  executada  por  profissionais  qualificados pelo fabricante Furukawa.    </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As curvaturas de leitos, tomadas de pontos lógicos,  patch panel  e outros componentes seguem orientações especificas do mesmo.</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O  alto  custo  dos  investimentos  e  a  manutenção  mensal  desses  ambientes  justificam  a necessidade  em  se  tomar  todas  as  medidas  para  sua  preservação.  </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   Lei  8666/93  (art.15,  inciso  I)  quando  veda  a  indicação  de  marca,  prevê  que,  “salvo justificadamente, para a padronização que imponha compatibilidade de especificações técnicas e de desempenho, condições de manutenção, assistência técnica e garantia oferecida, é permitido o procedimento de indicação de marca”.</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Uma  Garantia  de  Produto  Estendida  exclusiva  de  25  anos  são  fornecidos  em  todos  os  projetos  certificados  da  Furukawa.  O Programa garante que as três partes envolvidas no processo entreguem uma rede com qualidade superior, que assegure o funcionamento de diversos aplicativos e equipamentos com alta taxa e disponibilidade por um longo período de tempo, otimizando o investimento. .</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  garantia  estendida  não  é  o  único  motivo  de  se  ter  exigido  na  especificação  a  adoção  de componentes do fabricante Furukawa, uma vez que  nosso objetivo maior é manter o alto grau de disponibilidade  dos  sistemas,  o  que  depende  de  se  ter  uma  conectividade  sem  nenhuma interferência.</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Os  componentes  de  uma  rede,  apesar  de  serem  fabricados  sob  normas  específicas,  não  são testados para garantir as compatibilidades entre os diversos fabricantes existentes no mercado, e tal prática é inviável de ser simulada, devido à complexidade e à quantidade de componentes envolvidos.  Então,  não  há  como  saber,  isoladamente,  se  um  determinado  componente  está comprometendo  um  sistema  inteiro.  Portanto,  um  sistema  do  mesmo  fabricante  tem  todos  os seus  componentes  testados  simultaneamente  e  o  resultado  final  é  que  será  a  métrica  de desempenho do mesmo. </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  certificação  e  a  posterior  emissão  da  garantia  dependem  de  testes  feitos  no cabeamento instalado.  Para  isso  acontecer,  deve  existir  o  envolvimento  do  integrador  da solução,  do distribuidor do produto e do fabricante do cabeamento. Após a instalação e testados 100% do sistema, a documentação é enviada ao fabricante para validação do projeto e da instalação, para emissão da garantia estendida (no caso, 25 anos). A análise dessa documentação é feita  por um auditor independente, certificado da Furukawa, que realiza a vistoria da instalação.</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 Certificação completa garante que:</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todas as normas nacionais e internacionais aplicáveis foram cumpridas;</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todas as práticas de projeto e instalação do fabricante foram seguidas;</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todos os materiais utilizados são fabricados pelo fornecedor escolhido;</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os materiais não foram contrabandeados ou falsificados;</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o  instalador  contratado  é  reconhecido  pelo  fabricante  e  está  em  dia  com  suas qualificações.</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O objetivo é garantir que tudo estará funcionando de acordo com as normas técnicas definidas pelos padrões nacionais e internacionais de instalação, ou seja, ter 100% de pontos com o status POSITIVO, como deve ser num sistema cabeado, onde a performance e qualidade são medidas como  um  todo,  e  não  componente  a  componente.  Uma  alta  taxa  de  transmissão  e  uma baixíssima taxa de erros é o que se pretende.</w:t>
      </w:r>
    </w:p>
    <w:p w:rsidR="00000000" w:rsidDel="00000000" w:rsidP="00000000" w:rsidRDefault="00000000" w:rsidRPr="00000000">
      <w:pPr>
        <w:numPr>
          <w:ilvl w:val="0"/>
          <w:numId w:val="1"/>
        </w:numPr>
        <w:spacing w:line="360" w:lineRule="auto"/>
        <w:ind w:left="72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Outras vantagens:</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Performance superior, assegurada por certificação completa da Rede;</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Redução do tempo de resposta às modificações ou ampliações - o cabeamento com Garantia Estendida tem melhor identificação de toda a Infraestrutura, o que facilita a localização de um ponto de rede, um link de backbone, um rack, etc.</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Validação por terceira parte – assegura que a solução de infraestrutura instalada atenda aos requisitos das aplicações de rede como 100Mbps, 1Gbps, 10Gbps, 40 ou 100Gbps.</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Análise preventiva de riscos de sinistros - verifica o emprego correto de cabos adequados à aplicação, inclusive a classe de flamabilidade.</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Ampliação da disponibilidade dos Serviços de Rede – verifica raios de curvatura e/ou estresse demasiado em cabos e conectores, evitando desconexões por fadiga ou excesso de tração ou compressão.</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Registros técnicos e AsBuilt garantidos, que facilitam ampliações futuras.</w:t>
      </w:r>
    </w:p>
    <w:p w:rsidR="00000000" w:rsidDel="00000000" w:rsidP="00000000" w:rsidRDefault="00000000" w:rsidRPr="00000000">
      <w:pPr>
        <w:numPr>
          <w:ilvl w:val="1"/>
          <w:numId w:val="1"/>
        </w:numPr>
        <w:spacing w:line="360" w:lineRule="auto"/>
        <w:ind w:left="1080" w:hanging="360"/>
        <w:rPr>
          <w:rFonts w:ascii="Arial" w:cs="Arial" w:eastAsia="Arial" w:hAnsi="Arial"/>
          <w:sz w:val="20"/>
          <w:szCs w:val="20"/>
        </w:rPr>
      </w:pPr>
      <w:r w:rsidDel="00000000" w:rsidR="00000000" w:rsidRPr="00000000">
        <w:rPr>
          <w:rFonts w:ascii="Arial" w:cs="Arial" w:eastAsia="Arial" w:hAnsi="Arial"/>
          <w:sz w:val="20"/>
          <w:szCs w:val="20"/>
          <w:vertAlign w:val="baseline"/>
          <w:rtl w:val="0"/>
        </w:rPr>
        <w:t xml:space="preserve">Uma rede mais confiável e garantida por até 25 anos.</w:t>
      </w:r>
    </w:p>
    <w:p w:rsidR="00000000" w:rsidDel="00000000" w:rsidP="00000000" w:rsidRDefault="00000000" w:rsidRPr="00000000">
      <w:pPr>
        <w:spacing w:line="360" w:lineRule="auto"/>
        <w:contextualSpacing w:val="0"/>
        <w:rPr>
          <w:rFonts w:ascii="Arial" w:cs="Arial" w:eastAsia="Arial" w:hAnsi="Arial"/>
          <w:sz w:val="20"/>
          <w:szCs w:val="20"/>
          <w:vertAlign w:val="baseline"/>
        </w:rPr>
      </w:pPr>
      <w:r w:rsidDel="00000000" w:rsidR="00000000" w:rsidRPr="00000000">
        <w:rPr>
          <w:rtl w:val="0"/>
        </w:rPr>
      </w:r>
    </w:p>
    <w:sectPr>
      <w:pgSz w:h="16838" w:w="11906"/>
      <w:pgMar w:bottom="1134" w:top="1134"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rial"/>
  <w:font w:name="Liberation Sans"/>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Liberation Serif" w:cs="Liberation Serif" w:eastAsia="Liberation Serif" w:hAnsi="Liberation Serif"/>
        <w:b w:val="0"/>
        <w:i w:val="0"/>
        <w:smallCaps w:val="0"/>
        <w:strike w:val="0"/>
        <w:color w:val="000000"/>
        <w:sz w:val="24"/>
        <w:szCs w:val="24"/>
        <w:u w:val="none"/>
        <w:shd w:fill="auto" w:val="clear"/>
        <w:vertAlign w:val="baseline"/>
        <w:lang w:val="pt-BR"/>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432" w:right="0" w:hanging="432"/>
      <w:contextualSpacing w:val="0"/>
      <w:jc w:val="left"/>
    </w:pPr>
    <w:rPr>
      <w:rFonts w:ascii="Liberation Sans" w:cs="Liberation Sans" w:eastAsia="Liberation Sans" w:hAnsi="Liberation Sans"/>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00" w:line="240" w:lineRule="auto"/>
      <w:ind w:left="576" w:right="0" w:hanging="576"/>
      <w:contextualSpacing w:val="0"/>
      <w:jc w:val="left"/>
    </w:pPr>
    <w:rPr>
      <w:rFonts w:ascii="Liberation Sans" w:cs="Liberation Sans" w:eastAsia="Liberation Sans" w:hAnsi="Liberation Sans"/>
      <w:b w:val="1"/>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720" w:right="0" w:hanging="720"/>
      <w:contextualSpacing w:val="0"/>
      <w:jc w:val="left"/>
    </w:pPr>
    <w:rPr>
      <w:rFonts w:ascii="Liberation Sans" w:cs="Liberation Sans" w:eastAsia="Liberation Sans" w:hAnsi="Liberation Sans"/>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contextualSpacing w:val="0"/>
      <w:jc w:val="center"/>
    </w:pPr>
    <w:rPr>
      <w:rFonts w:ascii="Liberation Sans" w:cs="Liberation Sans" w:eastAsia="Liberation Sans" w:hAnsi="Liberation Sans"/>
      <w:b w:val="1"/>
      <w:i w:val="0"/>
      <w:smallCaps w:val="0"/>
      <w:strike w:val="0"/>
      <w:color w:val="000000"/>
      <w:sz w:val="36"/>
      <w:szCs w:val="36"/>
      <w:u w:val="none"/>
      <w:shd w:fill="auto" w:val="clear"/>
      <w:vertAlign w:val="baseline"/>
    </w:rPr>
  </w:style>
  <w:style w:type="paragraph" w:styleId="Subtitle">
    <w:name w:val="Subtitle"/>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contextualSpacing w:val="0"/>
      <w:jc w:val="center"/>
    </w:pPr>
    <w:rPr>
      <w:rFonts w:ascii="Liberation Sans" w:cs="Liberation Sans" w:eastAsia="Liberation Sans" w:hAnsi="Liberation Sans"/>
      <w:b w:val="0"/>
      <w:i w:val="1"/>
      <w:smallCaps w:val="0"/>
      <w:strike w:val="0"/>
      <w:color w:val="000000"/>
      <w:sz w:val="28"/>
      <w:szCs w:val="2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